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5D41AD" w:rsidRDefault="005D41AD" w:rsidP="00DD73AE">
      <w:pPr>
        <w:jc w:val="center"/>
      </w:pPr>
      <w:r>
        <w:t>Conflict Management and Negotiation</w:t>
      </w:r>
    </w:p>
    <w:p w:rsidR="005D41AD" w:rsidRDefault="005D41AD" w:rsidP="00DD73AE">
      <w:pPr>
        <w:jc w:val="center"/>
      </w:pPr>
      <w:r>
        <w:t>Name</w:t>
      </w:r>
    </w:p>
    <w:p w:rsidR="005D41AD" w:rsidRDefault="005D41AD" w:rsidP="00DD73AE">
      <w:pPr>
        <w:jc w:val="center"/>
      </w:pPr>
      <w:r>
        <w:t>Institution of affiliation</w:t>
      </w: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DD73AE" w:rsidRDefault="00DD73AE" w:rsidP="00DD73AE">
      <w:pPr>
        <w:jc w:val="center"/>
      </w:pPr>
    </w:p>
    <w:p w:rsidR="005D41AD" w:rsidRDefault="005D41AD" w:rsidP="00DD73AE">
      <w:pPr>
        <w:jc w:val="center"/>
      </w:pPr>
      <w:r>
        <w:lastRenderedPageBreak/>
        <w:t>Conflict Management and Negotiation</w:t>
      </w:r>
    </w:p>
    <w:p w:rsidR="006132FF" w:rsidRPr="006132FF" w:rsidRDefault="006132FF" w:rsidP="00DD73AE">
      <w:pPr>
        <w:jc w:val="center"/>
        <w:rPr>
          <w:b/>
        </w:rPr>
      </w:pPr>
      <w:r w:rsidRPr="006132FF">
        <w:rPr>
          <w:b/>
        </w:rPr>
        <w:t xml:space="preserve">Introduction </w:t>
      </w:r>
    </w:p>
    <w:p w:rsidR="005D41AD" w:rsidRDefault="005D41AD" w:rsidP="00DD73AE">
      <w:pPr>
        <w:ind w:firstLine="720"/>
      </w:pPr>
      <w:r>
        <w:t xml:space="preserve">In the human existence and interaction, a conflict has always occurred. The conflicts occur due to the various causes of misunderstanding and even acting against the provisions that protect the other person. According to </w:t>
      </w:r>
      <w:proofErr w:type="spellStart"/>
      <w:r>
        <w:t>Prenzel</w:t>
      </w:r>
      <w:proofErr w:type="spellEnd"/>
      <w:r>
        <w:t xml:space="preserve"> and </w:t>
      </w:r>
      <w:proofErr w:type="spellStart"/>
      <w:r>
        <w:t>Vanclay</w:t>
      </w:r>
      <w:proofErr w:type="spellEnd"/>
      <w:r>
        <w:t xml:space="preserve"> (2014), conflict refers to a misunderstanding between two or more parties on a particular ac</w:t>
      </w:r>
      <w:r w:rsidR="0049635F">
        <w:t>tivity that makes them disagree</w:t>
      </w:r>
      <w:r>
        <w:t>. In most cases, the conflict leads to an argument that makes it hard for the parties involved not to be able to listen to one another in order to resolve the disagreement. In this case, a third party has to be involved in reconciling the two parties in the conflict. There are many methods used in the solving of conflicts which include mediation, negotiation, conciliation, arbitration, collaborative laws among others (</w:t>
      </w:r>
      <w:proofErr w:type="spellStart"/>
      <w:r>
        <w:t>Sriram</w:t>
      </w:r>
      <w:proofErr w:type="spellEnd"/>
      <w:r>
        <w:t>, Martin-Ortega &amp; Herman, 2017).  For the purpose of this discussion, negotiation is the method that will be referred. In negotiation, the parties in conflict have to come together and reach an agreement that is acceptable and the outcome is favorable in both parties. In Universal Declaration of Human Rights (UDHR) provision, it is provided that every person rights should be respected and therefore honored. Any negotiations that are carried out should be geared at ensuring that the human rights and obligations are respected and hence the outcomes should not violate such rights and responsibilities.</w:t>
      </w:r>
    </w:p>
    <w:p w:rsidR="00DD73AE" w:rsidRPr="006132FF" w:rsidRDefault="00DD73AE" w:rsidP="00DD73AE">
      <w:pPr>
        <w:jc w:val="center"/>
        <w:rPr>
          <w:b/>
        </w:rPr>
      </w:pPr>
      <w:r w:rsidRPr="006132FF">
        <w:rPr>
          <w:b/>
        </w:rPr>
        <w:t>Relevance of UDHR to Human Service Professionals in Conflict Management and Negotiation</w:t>
      </w:r>
    </w:p>
    <w:p w:rsidR="005D41AD" w:rsidRDefault="005D41AD" w:rsidP="00DD73AE">
      <w:pPr>
        <w:ind w:firstLine="720"/>
      </w:pPr>
      <w:r>
        <w:t xml:space="preserve">In conflict management, there are human service professionals who are involved in the negotiation in order to resolve and get a solution to a conflict. The conflicts could be between two individuals, two states or even two regions in the world. The Universal Declaration of Human Rights (UDHR), provides the rights, freedoms, and responsibilities of all the people </w:t>
      </w:r>
      <w:r>
        <w:lastRenderedPageBreak/>
        <w:t xml:space="preserve">regardless of their social status, nationality, and color (Hakim, 2015). This provides principles that are applied when the </w:t>
      </w:r>
      <w:r w:rsidR="0018380D">
        <w:t xml:space="preserve">human </w:t>
      </w:r>
      <w:r>
        <w:t xml:space="preserve">service professionals involved in conflict management when they are providing their services to the parties involved. For example, in conflict management and resolution, the rights of the parties are equal and this should be observed. As long as, they are human beings, they have equal rights and privileges and these should not be interfered with during the negotiation in dealing with the conflict (Malik et al., 2015). In a court of law for example, </w:t>
      </w:r>
      <w:r w:rsidR="0018380D">
        <w:t xml:space="preserve">in case </w:t>
      </w:r>
      <w:r>
        <w:t>the negotiations have to be taken there, the court has to observe that the parties are equal before the law regardless of their status in the society. This means that the court should never treat one party superior to the other when determining and solving the conflict.</w:t>
      </w:r>
    </w:p>
    <w:p w:rsidR="005D41AD" w:rsidRDefault="005D41AD" w:rsidP="00DD73AE">
      <w:pPr>
        <w:ind w:firstLine="720"/>
      </w:pPr>
      <w:r>
        <w:t>The human service professionals invol</w:t>
      </w:r>
      <w:r w:rsidR="0018380D">
        <w:t xml:space="preserve">ved in the conflict management have </w:t>
      </w:r>
      <w:r>
        <w:t>ensure that the personal liberty and security is guaranteed. Malik et al. (2015), state that the  Universal Declaration of Human Rights (UDHR</w:t>
      </w:r>
      <w:r w:rsidR="0018380D">
        <w:t xml:space="preserve">) provides that all people are </w:t>
      </w:r>
      <w:r>
        <w:t>equal before the law as long as they are human beings and therefore they should not be intimidated or even treated in an inhumane way whether they are guilty or not. In a marriage conflict, for example, both the wife and the husband have equal rights since they are human beings and they entered into the marriage with no coercion and it was thr</w:t>
      </w:r>
      <w:r w:rsidR="0018380D">
        <w:t>ough free will. Therefore,</w:t>
      </w:r>
      <w:r>
        <w:t xml:space="preserve"> no party should be favored over the </w:t>
      </w:r>
      <w:r w:rsidR="0018380D">
        <w:t>other party at any given time. T</w:t>
      </w:r>
      <w:r>
        <w:t>his means that every party has the right to be recognized as a human being as provided by the Universal Declaration of Human Rights hence equal treatment (</w:t>
      </w:r>
      <w:proofErr w:type="spellStart"/>
      <w:r>
        <w:t>Sriram</w:t>
      </w:r>
      <w:proofErr w:type="spellEnd"/>
      <w:r>
        <w:t>, Martin-Ortega &amp; Herman, 2017). A fair trial cannot be overemphasized where all the evidence and activities related to the conflict should be considered before making decisions that will affect both parties involved in the conflict. In a case where the co</w:t>
      </w:r>
      <w:r w:rsidR="0018380D">
        <w:t xml:space="preserve">nflict involves two states, all </w:t>
      </w:r>
      <w:r>
        <w:t xml:space="preserve">states before international community are equal whether developed or not </w:t>
      </w:r>
      <w:r>
        <w:lastRenderedPageBreak/>
        <w:t xml:space="preserve">and therefore both should have equal treatment by the human service professionals involved in the conflict management and negotiation. </w:t>
      </w:r>
    </w:p>
    <w:p w:rsidR="00DD73AE" w:rsidRPr="006132FF" w:rsidRDefault="00DD73AE" w:rsidP="00DD73AE">
      <w:pPr>
        <w:ind w:firstLine="720"/>
        <w:jc w:val="center"/>
        <w:rPr>
          <w:b/>
        </w:rPr>
      </w:pPr>
      <w:r w:rsidRPr="006132FF">
        <w:rPr>
          <w:b/>
        </w:rPr>
        <w:t xml:space="preserve">Changes </w:t>
      </w:r>
      <w:r w:rsidR="0018380D" w:rsidRPr="006132FF">
        <w:rPr>
          <w:b/>
        </w:rPr>
        <w:t xml:space="preserve">Needed In Human Service Professionals to Ensure Compliance with the </w:t>
      </w:r>
      <w:r w:rsidRPr="006132FF">
        <w:rPr>
          <w:b/>
        </w:rPr>
        <w:t>UDHR</w:t>
      </w:r>
    </w:p>
    <w:p w:rsidR="005D41AD" w:rsidRDefault="005D41AD" w:rsidP="00DD73AE">
      <w:pPr>
        <w:ind w:firstLine="720"/>
      </w:pPr>
      <w:r>
        <w:t>In order to comply with the provisions of the universal declaration of human rights in the management and settling of disputes, the human service professionals involved have to ensure measures are put in place to achieve them. Such measures include the introduction of clauses and other provisions in the procedures that are followed in the conflict resolution. This will ensure that all the human rights, privileges, a</w:t>
      </w:r>
      <w:r w:rsidR="0018380D">
        <w:t>nd responsibilities are observed</w:t>
      </w:r>
      <w:r>
        <w:t xml:space="preserve"> during the conflict management and also they are well recognized and adhered to all the time there is need to solve a conflict (</w:t>
      </w:r>
      <w:proofErr w:type="spellStart"/>
      <w:r>
        <w:t>Prenzel</w:t>
      </w:r>
      <w:proofErr w:type="spellEnd"/>
      <w:r>
        <w:t xml:space="preserve"> &amp; </w:t>
      </w:r>
      <w:proofErr w:type="spellStart"/>
      <w:r>
        <w:t>Vanclay</w:t>
      </w:r>
      <w:proofErr w:type="spellEnd"/>
      <w:r>
        <w:t>, 2014). Also, there is the need to introduce rules and regulations that compel all the human service professionals involved in the conflict management and negotiations to observe the human rights, priv</w:t>
      </w:r>
      <w:r w:rsidR="0018380D">
        <w:t>ileges, and responsibilities as</w:t>
      </w:r>
      <w:bookmarkStart w:id="0" w:name="_GoBack"/>
      <w:bookmarkEnd w:id="0"/>
      <w:r>
        <w:t xml:space="preserve"> provided by the Universal Declaration of Human Rights. These measures include the provision of rules and regulations and consequences for those who do not observe the rights as provided in the document when involved in the management and resolution of conflicts irrespective of the magnitude and the parties involved (Hakim, 2015). In fact, the provisions should have the punishment that makes the human service professionals to always provide the much needed human rights and privileges for all human beings involved in conflicts. The human service professionals should provide training that ensures that those who are involved in the conflict management actually understand the applications of the universal declaration of human rights while executing their duties. This is geared to ensure that all those who are involved in the negotiations and conflict management actually are familiar with the provisions of human rights and therefore consider such in their </w:t>
      </w:r>
      <w:r>
        <w:lastRenderedPageBreak/>
        <w:t>management strategies and decisions made concerning the conflicts. Creating awareness of the existence of human rights protection in the universal declaration of human rights even to the parties involved in the conflict makes them very conscious and ready to champion for such rights if they are not observed while solving a conflict.</w:t>
      </w: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DD73AE">
      <w:pPr>
        <w:ind w:firstLine="720"/>
      </w:pPr>
    </w:p>
    <w:p w:rsidR="00DD73AE" w:rsidRDefault="00DD73AE" w:rsidP="006132FF"/>
    <w:p w:rsidR="006132FF" w:rsidRDefault="006132FF" w:rsidP="006132FF"/>
    <w:p w:rsidR="006060F1" w:rsidRDefault="006060F1" w:rsidP="00DD73AE">
      <w:pPr>
        <w:jc w:val="center"/>
      </w:pPr>
      <w:r>
        <w:lastRenderedPageBreak/>
        <w:t>References</w:t>
      </w:r>
    </w:p>
    <w:p w:rsidR="00DD73AE" w:rsidRPr="006060F1" w:rsidRDefault="00DD73AE" w:rsidP="00DD73AE">
      <w:pPr>
        <w:ind w:left="720" w:hanging="720"/>
        <w:rPr>
          <w:rFonts w:eastAsia="Times New Roman"/>
        </w:rPr>
      </w:pPr>
      <w:r w:rsidRPr="006060F1">
        <w:rPr>
          <w:rFonts w:eastAsia="Times New Roman"/>
        </w:rPr>
        <w:t xml:space="preserve">Hakim, F. Y. (2015). Universal Declaration of Human Rights. </w:t>
      </w:r>
      <w:r w:rsidRPr="006060F1">
        <w:rPr>
          <w:rFonts w:eastAsia="Times New Roman"/>
          <w:i/>
          <w:iCs/>
        </w:rPr>
        <w:t>Indonesian Journal of International Law</w:t>
      </w:r>
      <w:r w:rsidRPr="006060F1">
        <w:rPr>
          <w:rFonts w:eastAsia="Times New Roman"/>
        </w:rPr>
        <w:t xml:space="preserve">, </w:t>
      </w:r>
      <w:r w:rsidRPr="006060F1">
        <w:rPr>
          <w:rFonts w:eastAsia="Times New Roman"/>
          <w:i/>
          <w:iCs/>
        </w:rPr>
        <w:t>4</w:t>
      </w:r>
      <w:r w:rsidRPr="006060F1">
        <w:rPr>
          <w:rFonts w:eastAsia="Times New Roman"/>
        </w:rPr>
        <w:t>(1).</w:t>
      </w:r>
    </w:p>
    <w:p w:rsidR="00DD73AE" w:rsidRPr="006060F1" w:rsidRDefault="00DD73AE" w:rsidP="00DD73AE">
      <w:pPr>
        <w:ind w:left="720" w:hanging="720"/>
        <w:rPr>
          <w:rFonts w:eastAsia="Times New Roman"/>
        </w:rPr>
      </w:pPr>
      <w:r w:rsidRPr="006060F1">
        <w:rPr>
          <w:rFonts w:eastAsia="Times New Roman"/>
        </w:rPr>
        <w:t xml:space="preserve">Malik, C., </w:t>
      </w:r>
      <w:proofErr w:type="spellStart"/>
      <w:r w:rsidRPr="006060F1">
        <w:rPr>
          <w:rFonts w:eastAsia="Times New Roman"/>
        </w:rPr>
        <w:t>Bogomolov</w:t>
      </w:r>
      <w:proofErr w:type="spellEnd"/>
      <w:r w:rsidRPr="006060F1">
        <w:rPr>
          <w:rFonts w:eastAsia="Times New Roman"/>
        </w:rPr>
        <w:t>, A., Chang, P. C., Cassin, R., Roosevelt, E., Dukes, C</w:t>
      </w:r>
      <w:proofErr w:type="gramStart"/>
      <w:r w:rsidRPr="006060F1">
        <w:rPr>
          <w:rFonts w:eastAsia="Times New Roman"/>
        </w:rPr>
        <w:t>., ...</w:t>
      </w:r>
      <w:proofErr w:type="gramEnd"/>
      <w:r w:rsidRPr="006060F1">
        <w:rPr>
          <w:rFonts w:eastAsia="Times New Roman"/>
        </w:rPr>
        <w:t xml:space="preserve"> &amp; Humphrey, J. P. (2015). The Universal Declaration of Human Rights, UDHR, Declaration of Human Rights, Human Rights Declaration, Human Rights Charter, The Un and Human Rights. </w:t>
      </w:r>
      <w:r w:rsidRPr="006060F1">
        <w:rPr>
          <w:rFonts w:eastAsia="Times New Roman"/>
          <w:i/>
          <w:iCs/>
        </w:rPr>
        <w:t xml:space="preserve">UN News Center. UN, </w:t>
      </w:r>
      <w:proofErr w:type="spellStart"/>
      <w:r w:rsidRPr="006060F1">
        <w:rPr>
          <w:rFonts w:eastAsia="Times New Roman"/>
          <w:i/>
          <w:iCs/>
        </w:rPr>
        <w:t>nd</w:t>
      </w:r>
      <w:proofErr w:type="spellEnd"/>
      <w:r w:rsidRPr="006060F1">
        <w:rPr>
          <w:rFonts w:eastAsia="Times New Roman"/>
          <w:i/>
          <w:iCs/>
        </w:rPr>
        <w:t xml:space="preserve"> Web</w:t>
      </w:r>
      <w:r w:rsidRPr="006060F1">
        <w:rPr>
          <w:rFonts w:eastAsia="Times New Roman"/>
        </w:rPr>
        <w:t xml:space="preserve">, </w:t>
      </w:r>
      <w:r w:rsidRPr="006060F1">
        <w:rPr>
          <w:rFonts w:eastAsia="Times New Roman"/>
          <w:i/>
          <w:iCs/>
        </w:rPr>
        <w:t>4</w:t>
      </w:r>
      <w:r w:rsidRPr="006060F1">
        <w:rPr>
          <w:rFonts w:eastAsia="Times New Roman"/>
        </w:rPr>
        <w:t>.</w:t>
      </w:r>
    </w:p>
    <w:p w:rsidR="00DD73AE" w:rsidRPr="001451DF" w:rsidRDefault="00DD73AE" w:rsidP="00DD73AE">
      <w:pPr>
        <w:ind w:left="720" w:hanging="720"/>
        <w:rPr>
          <w:rFonts w:eastAsia="Times New Roman"/>
        </w:rPr>
      </w:pPr>
      <w:proofErr w:type="spellStart"/>
      <w:r w:rsidRPr="001451DF">
        <w:rPr>
          <w:rFonts w:eastAsia="Times New Roman"/>
        </w:rPr>
        <w:t>Prenzel</w:t>
      </w:r>
      <w:proofErr w:type="spellEnd"/>
      <w:r w:rsidRPr="001451DF">
        <w:rPr>
          <w:rFonts w:eastAsia="Times New Roman"/>
        </w:rPr>
        <w:t xml:space="preserve">, P. V., &amp; </w:t>
      </w:r>
      <w:proofErr w:type="spellStart"/>
      <w:r w:rsidRPr="001451DF">
        <w:rPr>
          <w:rFonts w:eastAsia="Times New Roman"/>
        </w:rPr>
        <w:t>Vanclay</w:t>
      </w:r>
      <w:proofErr w:type="spellEnd"/>
      <w:r w:rsidRPr="001451DF">
        <w:rPr>
          <w:rFonts w:eastAsia="Times New Roman"/>
        </w:rPr>
        <w:t xml:space="preserve">, F. (2014). How social impact assessment can contribute to conflict management. </w:t>
      </w:r>
      <w:r w:rsidRPr="001451DF">
        <w:rPr>
          <w:rFonts w:eastAsia="Times New Roman"/>
          <w:i/>
          <w:iCs/>
        </w:rPr>
        <w:t>Environmental Impact Assessment Review</w:t>
      </w:r>
      <w:r w:rsidRPr="001451DF">
        <w:rPr>
          <w:rFonts w:eastAsia="Times New Roman"/>
        </w:rPr>
        <w:t xml:space="preserve">, </w:t>
      </w:r>
      <w:r w:rsidRPr="001451DF">
        <w:rPr>
          <w:rFonts w:eastAsia="Times New Roman"/>
          <w:i/>
          <w:iCs/>
        </w:rPr>
        <w:t>45</w:t>
      </w:r>
      <w:r w:rsidRPr="001451DF">
        <w:rPr>
          <w:rFonts w:eastAsia="Times New Roman"/>
        </w:rPr>
        <w:t>, 30-37.</w:t>
      </w:r>
    </w:p>
    <w:p w:rsidR="00DD73AE" w:rsidRPr="001451DF" w:rsidRDefault="00DD73AE" w:rsidP="00DD73AE">
      <w:pPr>
        <w:ind w:left="720" w:hanging="720"/>
        <w:rPr>
          <w:rFonts w:eastAsia="Times New Roman"/>
        </w:rPr>
      </w:pPr>
      <w:proofErr w:type="spellStart"/>
      <w:r w:rsidRPr="001451DF">
        <w:rPr>
          <w:rFonts w:eastAsia="Times New Roman"/>
        </w:rPr>
        <w:t>Sriram</w:t>
      </w:r>
      <w:proofErr w:type="spellEnd"/>
      <w:r w:rsidRPr="001451DF">
        <w:rPr>
          <w:rFonts w:eastAsia="Times New Roman"/>
        </w:rPr>
        <w:t xml:space="preserve">, C. L., Martin-Ortega, O., &amp; Herman, J. (2017). </w:t>
      </w:r>
      <w:r w:rsidRPr="001451DF">
        <w:rPr>
          <w:rFonts w:eastAsia="Times New Roman"/>
          <w:i/>
          <w:iCs/>
        </w:rPr>
        <w:t>War, conflict and human rights: theory and practice</w:t>
      </w:r>
      <w:r w:rsidRPr="001451DF">
        <w:rPr>
          <w:rFonts w:eastAsia="Times New Roman"/>
        </w:rPr>
        <w:t xml:space="preserve">. </w:t>
      </w:r>
      <w:proofErr w:type="spellStart"/>
      <w:r w:rsidRPr="001451DF">
        <w:rPr>
          <w:rFonts w:eastAsia="Times New Roman"/>
        </w:rPr>
        <w:t>Routledge</w:t>
      </w:r>
      <w:proofErr w:type="spellEnd"/>
      <w:r w:rsidRPr="001451DF">
        <w:rPr>
          <w:rFonts w:eastAsia="Times New Roman"/>
        </w:rPr>
        <w:t>.</w:t>
      </w:r>
    </w:p>
    <w:p w:rsidR="006060F1" w:rsidRDefault="006060F1"/>
    <w:p w:rsidR="000A1BF7" w:rsidRDefault="000A1BF7"/>
    <w:sectPr w:rsidR="000A1BF7" w:rsidSect="00DD73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3A6" w:rsidRDefault="00BD03A6" w:rsidP="00DD73AE">
      <w:pPr>
        <w:spacing w:line="240" w:lineRule="auto"/>
      </w:pPr>
      <w:r>
        <w:separator/>
      </w:r>
    </w:p>
  </w:endnote>
  <w:endnote w:type="continuationSeparator" w:id="0">
    <w:p w:rsidR="00BD03A6" w:rsidRDefault="00BD03A6" w:rsidP="00DD73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3A6" w:rsidRDefault="00BD03A6" w:rsidP="00DD73AE">
      <w:pPr>
        <w:spacing w:line="240" w:lineRule="auto"/>
      </w:pPr>
      <w:r>
        <w:separator/>
      </w:r>
    </w:p>
  </w:footnote>
  <w:footnote w:type="continuationSeparator" w:id="0">
    <w:p w:rsidR="00BD03A6" w:rsidRDefault="00BD03A6" w:rsidP="00DD73A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3AE" w:rsidRDefault="00DD73AE">
    <w:pPr>
      <w:pStyle w:val="Header"/>
      <w:jc w:val="right"/>
    </w:pPr>
    <w:r>
      <w:t>CONFLICT MANAGEMENT AND NEGOTIATION</w:t>
    </w:r>
    <w:r>
      <w:t xml:space="preserve">                                                           </w:t>
    </w:r>
    <w:sdt>
      <w:sdtPr>
        <w:id w:val="-4992747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8380D">
          <w:rPr>
            <w:noProof/>
          </w:rPr>
          <w:t>6</w:t>
        </w:r>
        <w:r>
          <w:rPr>
            <w:noProof/>
          </w:rPr>
          <w:fldChar w:fldCharType="end"/>
        </w:r>
      </w:sdtContent>
    </w:sdt>
  </w:p>
  <w:p w:rsidR="00DD73AE" w:rsidRDefault="00DD73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3AE" w:rsidRDefault="00DD73AE">
    <w:pPr>
      <w:pStyle w:val="Header"/>
      <w:jc w:val="right"/>
    </w:pPr>
    <w:r>
      <w:t xml:space="preserve">Running head: </w:t>
    </w:r>
    <w:r>
      <w:t>CONFLICT MANAGEMENT AND NEGOTIATION</w:t>
    </w:r>
    <w:r>
      <w:t xml:space="preserve">                                      </w:t>
    </w:r>
    <w:sdt>
      <w:sdtPr>
        <w:id w:val="659253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52023">
          <w:rPr>
            <w:noProof/>
          </w:rPr>
          <w:t>1</w:t>
        </w:r>
        <w:r>
          <w:rPr>
            <w:noProof/>
          </w:rPr>
          <w:fldChar w:fldCharType="end"/>
        </w:r>
      </w:sdtContent>
    </w:sdt>
  </w:p>
  <w:p w:rsidR="00DD73AE" w:rsidRDefault="00DD73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3824AC"/>
    <w:multiLevelType w:val="multilevel"/>
    <w:tmpl w:val="0668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BF7"/>
    <w:rsid w:val="000A1BF7"/>
    <w:rsid w:val="00134AD4"/>
    <w:rsid w:val="001451DF"/>
    <w:rsid w:val="0018380D"/>
    <w:rsid w:val="003C5824"/>
    <w:rsid w:val="003F7AC8"/>
    <w:rsid w:val="0049635F"/>
    <w:rsid w:val="005D41AD"/>
    <w:rsid w:val="005F3774"/>
    <w:rsid w:val="006060F1"/>
    <w:rsid w:val="006132FF"/>
    <w:rsid w:val="00642774"/>
    <w:rsid w:val="00952023"/>
    <w:rsid w:val="009779B8"/>
    <w:rsid w:val="00BD03A6"/>
    <w:rsid w:val="00D14F14"/>
    <w:rsid w:val="00DD73AE"/>
    <w:rsid w:val="00E3276D"/>
    <w:rsid w:val="00E32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06E2F9-EAF8-4E25-8E43-301389303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3AE"/>
    <w:pPr>
      <w:tabs>
        <w:tab w:val="center" w:pos="4680"/>
        <w:tab w:val="right" w:pos="9360"/>
      </w:tabs>
      <w:spacing w:line="240" w:lineRule="auto"/>
    </w:pPr>
  </w:style>
  <w:style w:type="character" w:customStyle="1" w:styleId="HeaderChar">
    <w:name w:val="Header Char"/>
    <w:basedOn w:val="DefaultParagraphFont"/>
    <w:link w:val="Header"/>
    <w:uiPriority w:val="99"/>
    <w:rsid w:val="00DD73AE"/>
  </w:style>
  <w:style w:type="paragraph" w:styleId="Footer">
    <w:name w:val="footer"/>
    <w:basedOn w:val="Normal"/>
    <w:link w:val="FooterChar"/>
    <w:uiPriority w:val="99"/>
    <w:unhideWhenUsed/>
    <w:rsid w:val="00DD73AE"/>
    <w:pPr>
      <w:tabs>
        <w:tab w:val="center" w:pos="4680"/>
        <w:tab w:val="right" w:pos="9360"/>
      </w:tabs>
      <w:spacing w:line="240" w:lineRule="auto"/>
    </w:pPr>
  </w:style>
  <w:style w:type="character" w:customStyle="1" w:styleId="FooterChar">
    <w:name w:val="Footer Char"/>
    <w:basedOn w:val="DefaultParagraphFont"/>
    <w:link w:val="Footer"/>
    <w:uiPriority w:val="99"/>
    <w:rsid w:val="00DD7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1271">
      <w:bodyDiv w:val="1"/>
      <w:marLeft w:val="0"/>
      <w:marRight w:val="0"/>
      <w:marTop w:val="0"/>
      <w:marBottom w:val="0"/>
      <w:divBdr>
        <w:top w:val="none" w:sz="0" w:space="0" w:color="auto"/>
        <w:left w:val="none" w:sz="0" w:space="0" w:color="auto"/>
        <w:bottom w:val="none" w:sz="0" w:space="0" w:color="auto"/>
        <w:right w:val="none" w:sz="0" w:space="0" w:color="auto"/>
      </w:divBdr>
      <w:divsChild>
        <w:div w:id="1133017794">
          <w:marLeft w:val="0"/>
          <w:marRight w:val="0"/>
          <w:marTop w:val="0"/>
          <w:marBottom w:val="0"/>
          <w:divBdr>
            <w:top w:val="none" w:sz="0" w:space="0" w:color="auto"/>
            <w:left w:val="none" w:sz="0" w:space="0" w:color="auto"/>
            <w:bottom w:val="none" w:sz="0" w:space="0" w:color="auto"/>
            <w:right w:val="none" w:sz="0" w:space="0" w:color="auto"/>
          </w:divBdr>
        </w:div>
      </w:divsChild>
    </w:div>
    <w:div w:id="80180101">
      <w:bodyDiv w:val="1"/>
      <w:marLeft w:val="0"/>
      <w:marRight w:val="0"/>
      <w:marTop w:val="0"/>
      <w:marBottom w:val="0"/>
      <w:divBdr>
        <w:top w:val="none" w:sz="0" w:space="0" w:color="auto"/>
        <w:left w:val="none" w:sz="0" w:space="0" w:color="auto"/>
        <w:bottom w:val="none" w:sz="0" w:space="0" w:color="auto"/>
        <w:right w:val="none" w:sz="0" w:space="0" w:color="auto"/>
      </w:divBdr>
      <w:divsChild>
        <w:div w:id="287929149">
          <w:marLeft w:val="0"/>
          <w:marRight w:val="0"/>
          <w:marTop w:val="0"/>
          <w:marBottom w:val="0"/>
          <w:divBdr>
            <w:top w:val="none" w:sz="0" w:space="0" w:color="auto"/>
            <w:left w:val="none" w:sz="0" w:space="0" w:color="auto"/>
            <w:bottom w:val="none" w:sz="0" w:space="0" w:color="auto"/>
            <w:right w:val="none" w:sz="0" w:space="0" w:color="auto"/>
          </w:divBdr>
        </w:div>
      </w:divsChild>
    </w:div>
    <w:div w:id="281619211">
      <w:bodyDiv w:val="1"/>
      <w:marLeft w:val="0"/>
      <w:marRight w:val="0"/>
      <w:marTop w:val="0"/>
      <w:marBottom w:val="0"/>
      <w:divBdr>
        <w:top w:val="none" w:sz="0" w:space="0" w:color="auto"/>
        <w:left w:val="none" w:sz="0" w:space="0" w:color="auto"/>
        <w:bottom w:val="none" w:sz="0" w:space="0" w:color="auto"/>
        <w:right w:val="none" w:sz="0" w:space="0" w:color="auto"/>
      </w:divBdr>
      <w:divsChild>
        <w:div w:id="1719472266">
          <w:marLeft w:val="0"/>
          <w:marRight w:val="0"/>
          <w:marTop w:val="0"/>
          <w:marBottom w:val="0"/>
          <w:divBdr>
            <w:top w:val="none" w:sz="0" w:space="0" w:color="auto"/>
            <w:left w:val="none" w:sz="0" w:space="0" w:color="auto"/>
            <w:bottom w:val="none" w:sz="0" w:space="0" w:color="auto"/>
            <w:right w:val="none" w:sz="0" w:space="0" w:color="auto"/>
          </w:divBdr>
        </w:div>
      </w:divsChild>
    </w:div>
    <w:div w:id="1011100423">
      <w:bodyDiv w:val="1"/>
      <w:marLeft w:val="0"/>
      <w:marRight w:val="0"/>
      <w:marTop w:val="0"/>
      <w:marBottom w:val="0"/>
      <w:divBdr>
        <w:top w:val="none" w:sz="0" w:space="0" w:color="auto"/>
        <w:left w:val="none" w:sz="0" w:space="0" w:color="auto"/>
        <w:bottom w:val="none" w:sz="0" w:space="0" w:color="auto"/>
        <w:right w:val="none" w:sz="0" w:space="0" w:color="auto"/>
      </w:divBdr>
      <w:divsChild>
        <w:div w:id="1473868226">
          <w:marLeft w:val="0"/>
          <w:marRight w:val="0"/>
          <w:marTop w:val="0"/>
          <w:marBottom w:val="0"/>
          <w:divBdr>
            <w:top w:val="none" w:sz="0" w:space="0" w:color="auto"/>
            <w:left w:val="none" w:sz="0" w:space="0" w:color="auto"/>
            <w:bottom w:val="none" w:sz="0" w:space="0" w:color="auto"/>
            <w:right w:val="none" w:sz="0" w:space="0" w:color="auto"/>
          </w:divBdr>
        </w:div>
      </w:divsChild>
    </w:div>
    <w:div w:id="1750348043">
      <w:bodyDiv w:val="1"/>
      <w:marLeft w:val="0"/>
      <w:marRight w:val="0"/>
      <w:marTop w:val="0"/>
      <w:marBottom w:val="0"/>
      <w:divBdr>
        <w:top w:val="none" w:sz="0" w:space="0" w:color="auto"/>
        <w:left w:val="none" w:sz="0" w:space="0" w:color="auto"/>
        <w:bottom w:val="none" w:sz="0" w:space="0" w:color="auto"/>
        <w:right w:val="none" w:sz="0" w:space="0" w:color="auto"/>
      </w:divBdr>
      <w:divsChild>
        <w:div w:id="1827209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6</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2018-01-07T08:42:00Z</dcterms:created>
  <dcterms:modified xsi:type="dcterms:W3CDTF">2018-01-07T11:07:00Z</dcterms:modified>
</cp:coreProperties>
</file>